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3982" w:rsidRDefault="00EF45A7">
      <w:r>
        <w:rPr>
          <w:noProof/>
        </w:rPr>
        <w:drawing>
          <wp:inline distT="0" distB="0" distL="0" distR="0">
            <wp:extent cx="5010701" cy="6889714"/>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upplementary figure 1.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5014471" cy="6894898"/>
                    </a:xfrm>
                    <a:prstGeom prst="rect">
                      <a:avLst/>
                    </a:prstGeom>
                  </pic:spPr>
                </pic:pic>
              </a:graphicData>
            </a:graphic>
          </wp:inline>
        </w:drawing>
      </w:r>
    </w:p>
    <w:p w:rsidR="00EF45A7" w:rsidRDefault="00FE0DD8" w:rsidP="00EF45A7">
      <w:pPr>
        <w:jc w:val="both"/>
      </w:pPr>
      <w:r>
        <w:rPr>
          <w:rFonts w:asciiTheme="majorBidi" w:hAnsiTheme="majorBidi" w:cstheme="majorBidi"/>
          <w:b/>
          <w:bCs/>
          <w:color w:val="000000"/>
          <w:sz w:val="24"/>
          <w:szCs w:val="24"/>
        </w:rPr>
        <w:t>F</w:t>
      </w:r>
      <w:r w:rsidR="00EF45A7">
        <w:rPr>
          <w:rFonts w:asciiTheme="majorBidi" w:hAnsiTheme="majorBidi" w:cstheme="majorBidi"/>
          <w:b/>
          <w:bCs/>
          <w:color w:val="000000"/>
          <w:sz w:val="24"/>
          <w:szCs w:val="24"/>
        </w:rPr>
        <w:t xml:space="preserve">igure </w:t>
      </w:r>
      <w:r>
        <w:rPr>
          <w:rFonts w:asciiTheme="majorBidi" w:hAnsiTheme="majorBidi" w:cstheme="majorBidi"/>
          <w:b/>
          <w:bCs/>
          <w:color w:val="000000"/>
          <w:sz w:val="24"/>
          <w:szCs w:val="24"/>
        </w:rPr>
        <w:t>S</w:t>
      </w:r>
      <w:r w:rsidR="00EF45A7">
        <w:rPr>
          <w:rFonts w:asciiTheme="majorBidi" w:hAnsiTheme="majorBidi" w:cstheme="majorBidi"/>
          <w:b/>
          <w:bCs/>
          <w:color w:val="000000"/>
          <w:sz w:val="24"/>
          <w:szCs w:val="24"/>
        </w:rPr>
        <w:t xml:space="preserve">1. </w:t>
      </w:r>
      <w:r w:rsidR="00EF45A7" w:rsidRPr="00A312EA">
        <w:rPr>
          <w:rFonts w:asciiTheme="majorBidi" w:hAnsiTheme="majorBidi" w:cstheme="majorBidi"/>
          <w:b/>
          <w:bCs/>
          <w:color w:val="000000"/>
          <w:sz w:val="24"/>
          <w:szCs w:val="24"/>
        </w:rPr>
        <w:t>Enrichment in multiple cancer-associated networks in breast cancer.</w:t>
      </w:r>
      <w:r w:rsidR="00EF45A7" w:rsidRPr="00A312EA">
        <w:rPr>
          <w:rFonts w:asciiTheme="majorBidi" w:hAnsiTheme="majorBidi" w:cstheme="majorBidi"/>
          <w:b/>
          <w:color w:val="000000"/>
          <w:sz w:val="24"/>
          <w:szCs w:val="24"/>
        </w:rPr>
        <w:t xml:space="preserve"> </w:t>
      </w:r>
      <w:r w:rsidR="00EF45A7">
        <w:rPr>
          <w:rFonts w:asciiTheme="majorBidi" w:hAnsiTheme="majorBidi" w:cstheme="majorBidi"/>
          <w:color w:val="000000"/>
          <w:sz w:val="24"/>
          <w:szCs w:val="24"/>
        </w:rPr>
        <w:t xml:space="preserve">Illustration of the </w:t>
      </w:r>
      <w:r w:rsidR="00EF45A7" w:rsidRPr="00A312EA">
        <w:rPr>
          <w:rFonts w:asciiTheme="majorBidi" w:hAnsiTheme="majorBidi" w:cstheme="majorBidi"/>
          <w:color w:val="000000"/>
          <w:sz w:val="24"/>
          <w:szCs w:val="24"/>
        </w:rPr>
        <w:t>Cancer, Organismal Injury and Abnormalities, Reproductive System Disease</w:t>
      </w:r>
      <w:r w:rsidR="00EF45A7">
        <w:rPr>
          <w:rFonts w:asciiTheme="majorBidi" w:hAnsiTheme="majorBidi" w:cstheme="majorBidi"/>
          <w:color w:val="000000"/>
          <w:sz w:val="24"/>
          <w:szCs w:val="24"/>
        </w:rPr>
        <w:t xml:space="preserve"> </w:t>
      </w:r>
      <w:r w:rsidR="00EF45A7" w:rsidRPr="00A312EA">
        <w:rPr>
          <w:rFonts w:asciiTheme="majorBidi" w:hAnsiTheme="majorBidi" w:cstheme="majorBidi"/>
          <w:b/>
          <w:color w:val="000000"/>
          <w:sz w:val="24"/>
          <w:szCs w:val="24"/>
        </w:rPr>
        <w:t>(</w:t>
      </w:r>
      <w:r w:rsidR="00EF45A7">
        <w:rPr>
          <w:rFonts w:asciiTheme="majorBidi" w:hAnsiTheme="majorBidi" w:cstheme="majorBidi"/>
          <w:b/>
          <w:color w:val="000000"/>
          <w:sz w:val="24"/>
          <w:szCs w:val="24"/>
        </w:rPr>
        <w:t>a</w:t>
      </w:r>
      <w:r w:rsidR="00EF45A7" w:rsidRPr="00A312EA">
        <w:rPr>
          <w:rFonts w:asciiTheme="majorBidi" w:hAnsiTheme="majorBidi" w:cstheme="majorBidi"/>
          <w:b/>
          <w:color w:val="000000"/>
          <w:sz w:val="24"/>
          <w:szCs w:val="24"/>
        </w:rPr>
        <w:t>)</w:t>
      </w:r>
      <w:r w:rsidR="00EF45A7" w:rsidRPr="00A312EA">
        <w:rPr>
          <w:rFonts w:asciiTheme="majorBidi" w:hAnsiTheme="majorBidi" w:cstheme="majorBidi"/>
          <w:color w:val="000000"/>
          <w:sz w:val="24"/>
          <w:szCs w:val="24"/>
        </w:rPr>
        <w:t xml:space="preserve">, </w:t>
      </w:r>
      <w:r w:rsidR="00EF45A7">
        <w:rPr>
          <w:rFonts w:asciiTheme="majorBidi" w:hAnsiTheme="majorBidi" w:cstheme="majorBidi"/>
          <w:color w:val="000000"/>
          <w:sz w:val="24"/>
          <w:szCs w:val="24"/>
        </w:rPr>
        <w:t xml:space="preserve">and </w:t>
      </w:r>
      <w:r w:rsidR="00EF45A7" w:rsidRPr="00A312EA">
        <w:rPr>
          <w:rFonts w:asciiTheme="majorBidi" w:hAnsiTheme="majorBidi" w:cstheme="majorBidi"/>
          <w:color w:val="000000"/>
          <w:sz w:val="24"/>
          <w:szCs w:val="24"/>
        </w:rPr>
        <w:t>Inflammatory</w:t>
      </w:r>
      <w:bookmarkStart w:id="0" w:name="_GoBack"/>
      <w:bookmarkEnd w:id="0"/>
      <w:r w:rsidR="00EF45A7" w:rsidRPr="00A312EA">
        <w:rPr>
          <w:rFonts w:asciiTheme="majorBidi" w:hAnsiTheme="majorBidi" w:cstheme="majorBidi"/>
          <w:color w:val="000000"/>
          <w:sz w:val="24"/>
          <w:szCs w:val="24"/>
        </w:rPr>
        <w:t xml:space="preserve"> Response, Cellular Movement, Immune Cell Trafficking</w:t>
      </w:r>
      <w:r w:rsidR="00EF45A7">
        <w:rPr>
          <w:rFonts w:asciiTheme="majorBidi" w:hAnsiTheme="majorBidi" w:cstheme="majorBidi"/>
          <w:color w:val="000000"/>
          <w:sz w:val="24"/>
          <w:szCs w:val="24"/>
        </w:rPr>
        <w:t xml:space="preserve"> </w:t>
      </w:r>
      <w:r w:rsidR="00EF45A7" w:rsidRPr="00A312EA">
        <w:rPr>
          <w:rFonts w:asciiTheme="majorBidi" w:hAnsiTheme="majorBidi" w:cstheme="majorBidi"/>
          <w:b/>
          <w:bCs/>
          <w:color w:val="000000"/>
          <w:sz w:val="24"/>
          <w:szCs w:val="24"/>
        </w:rPr>
        <w:t>(</w:t>
      </w:r>
      <w:r w:rsidR="00EF45A7">
        <w:rPr>
          <w:rFonts w:asciiTheme="majorBidi" w:hAnsiTheme="majorBidi" w:cstheme="majorBidi"/>
          <w:b/>
          <w:bCs/>
          <w:color w:val="000000"/>
          <w:sz w:val="24"/>
          <w:szCs w:val="24"/>
        </w:rPr>
        <w:t>b</w:t>
      </w:r>
      <w:r w:rsidR="00EF45A7" w:rsidRPr="00A312EA">
        <w:rPr>
          <w:rFonts w:asciiTheme="majorBidi" w:hAnsiTheme="majorBidi" w:cstheme="majorBidi"/>
          <w:b/>
          <w:bCs/>
          <w:color w:val="000000"/>
          <w:sz w:val="24"/>
          <w:szCs w:val="24"/>
        </w:rPr>
        <w:t>)</w:t>
      </w:r>
      <w:r w:rsidR="00EF45A7">
        <w:rPr>
          <w:rFonts w:asciiTheme="majorBidi" w:hAnsiTheme="majorBidi" w:cstheme="majorBidi"/>
          <w:b/>
          <w:color w:val="000000"/>
          <w:sz w:val="24"/>
          <w:szCs w:val="24"/>
        </w:rPr>
        <w:t xml:space="preserve"> </w:t>
      </w:r>
      <w:r w:rsidR="00EF45A7" w:rsidRPr="00A312EA">
        <w:rPr>
          <w:rFonts w:asciiTheme="majorBidi" w:hAnsiTheme="majorBidi" w:cstheme="majorBidi"/>
          <w:color w:val="000000"/>
          <w:sz w:val="24"/>
          <w:szCs w:val="24"/>
        </w:rPr>
        <w:t xml:space="preserve">networks based on IPA predicted activation state and subsequent effect on cellular functionality. Figure legend illustrate the relationship between molecules within the network and their activation state. Red color indicates activation while blue color indicate suppression.                      </w:t>
      </w:r>
    </w:p>
    <w:sectPr w:rsidR="00EF45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5A7"/>
    <w:rsid w:val="008E3982"/>
    <w:rsid w:val="00EF45A7"/>
    <w:rsid w:val="00FE0DD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35009"/>
  <w15:chartTrackingRefBased/>
  <w15:docId w15:val="{4833C3B9-FD17-404C-B7D9-047FF8D52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82</Words>
  <Characters>468</Characters>
  <Application>Microsoft Office Word</Application>
  <DocSecurity>0</DocSecurity>
  <Lines>3</Lines>
  <Paragraphs>1</Paragraphs>
  <ScaleCrop>false</ScaleCrop>
  <Company>Qatar Foundation</Company>
  <LinksUpToDate>false</LinksUpToDate>
  <CharactersWithSpaces>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Nehad Alajez</dc:creator>
  <cp:keywords/>
  <dc:description/>
  <cp:lastModifiedBy>Dr. Nehad Alajez</cp:lastModifiedBy>
  <cp:revision>2</cp:revision>
  <dcterms:created xsi:type="dcterms:W3CDTF">2019-10-02T09:46:00Z</dcterms:created>
  <dcterms:modified xsi:type="dcterms:W3CDTF">2019-12-03T08:55:00Z</dcterms:modified>
</cp:coreProperties>
</file>